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983D" w14:textId="2516120F" w:rsidR="00DC00FB" w:rsidRPr="00F0634E" w:rsidRDefault="00420AA1" w:rsidP="002E7F0F">
      <w:pPr>
        <w:rPr>
          <w:rFonts w:ascii="Verdana" w:hAnsi="Verdana"/>
          <w:b/>
          <w:bCs/>
          <w:color w:val="000000" w:themeColor="text1"/>
        </w:rPr>
      </w:pPr>
      <w:r w:rsidRPr="00F0634E">
        <w:rPr>
          <w:rFonts w:ascii="Verdana" w:hAnsi="Verdana"/>
          <w:b/>
          <w:bCs/>
          <w:color w:val="000000" w:themeColor="text1"/>
        </w:rPr>
        <w:t>I</w:t>
      </w:r>
      <w:r w:rsidR="0091457E" w:rsidRPr="00F0634E">
        <w:rPr>
          <w:rFonts w:ascii="Verdana" w:hAnsi="Verdana"/>
          <w:b/>
          <w:bCs/>
          <w:color w:val="000000" w:themeColor="text1"/>
        </w:rPr>
        <w:t xml:space="preserve">mportant </w:t>
      </w:r>
      <w:r w:rsidR="00D25238" w:rsidRPr="00F0634E">
        <w:rPr>
          <w:rFonts w:ascii="Verdana" w:hAnsi="Verdana"/>
          <w:b/>
          <w:bCs/>
          <w:color w:val="000000" w:themeColor="text1"/>
        </w:rPr>
        <w:t>Superannuation Updates</w:t>
      </w:r>
    </w:p>
    <w:p w14:paraId="2540BED9" w14:textId="3FE65503" w:rsidR="0091457E" w:rsidRPr="00F0634E" w:rsidRDefault="0091457E" w:rsidP="002E7F0F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B01BF39" w14:textId="54D6D359" w:rsidR="00FF4E3F" w:rsidRPr="00F0634E" w:rsidRDefault="00FF4E3F" w:rsidP="00FF4E3F">
      <w:pP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F0634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The </w:t>
      </w:r>
      <w:r w:rsidR="007554B6" w:rsidRPr="00F0634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2022 </w:t>
      </w:r>
      <w:r w:rsidRPr="00F0634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Federal Budget made some changes to the superannuation that are relevant to small-medium </w:t>
      </w:r>
      <w:r w:rsidR="00716E55" w:rsidRPr="00F0634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</w:t>
      </w:r>
      <w:r w:rsidRPr="00F0634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hurches and Not for Profit organisations.</w:t>
      </w:r>
    </w:p>
    <w:p w14:paraId="1126CAC1" w14:textId="3EF40DF7" w:rsidR="00D25238" w:rsidRPr="00F0634E" w:rsidRDefault="00FF4E3F" w:rsidP="00420AA1">
      <w:pPr>
        <w:shd w:val="clear" w:color="auto" w:fill="FFFFFF"/>
        <w:spacing w:before="120"/>
        <w:textAlignment w:val="baseline"/>
        <w:rPr>
          <w:rFonts w:ascii="Verdana" w:hAnsi="Verdana" w:cs="Open Sans"/>
          <w:b/>
          <w:bCs/>
          <w:color w:val="000000" w:themeColor="text1"/>
          <w:sz w:val="20"/>
          <w:szCs w:val="20"/>
          <w:bdr w:val="none" w:sz="0" w:space="0" w:color="auto" w:frame="1"/>
        </w:rPr>
      </w:pPr>
      <w:r w:rsidRPr="00F0634E">
        <w:rPr>
          <w:rFonts w:ascii="Verdana" w:hAnsi="Verdana" w:cs="Open Sans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1. </w:t>
      </w:r>
      <w:r w:rsidR="007554B6" w:rsidRPr="00F0634E">
        <w:rPr>
          <w:rFonts w:ascii="Verdana" w:hAnsi="Verdana" w:cs="Open Sans"/>
          <w:b/>
          <w:bCs/>
          <w:color w:val="000000" w:themeColor="text1"/>
          <w:sz w:val="20"/>
          <w:szCs w:val="20"/>
          <w:bdr w:val="none" w:sz="0" w:space="0" w:color="auto" w:frame="1"/>
        </w:rPr>
        <w:t>Superannuation Guarantee (</w:t>
      </w:r>
      <w:r w:rsidR="00D25238" w:rsidRPr="00F0634E">
        <w:rPr>
          <w:rFonts w:ascii="Verdana" w:hAnsi="Verdana" w:cs="Open Sans"/>
          <w:b/>
          <w:bCs/>
          <w:color w:val="000000" w:themeColor="text1"/>
          <w:sz w:val="20"/>
          <w:szCs w:val="20"/>
          <w:bdr w:val="none" w:sz="0" w:space="0" w:color="auto" w:frame="1"/>
        </w:rPr>
        <w:t>SG</w:t>
      </w:r>
      <w:r w:rsidR="007554B6" w:rsidRPr="00F0634E">
        <w:rPr>
          <w:rFonts w:ascii="Verdana" w:hAnsi="Verdana" w:cs="Open Sans"/>
          <w:b/>
          <w:bCs/>
          <w:color w:val="000000" w:themeColor="text1"/>
          <w:sz w:val="20"/>
          <w:szCs w:val="20"/>
          <w:bdr w:val="none" w:sz="0" w:space="0" w:color="auto" w:frame="1"/>
        </w:rPr>
        <w:t>)</w:t>
      </w:r>
      <w:r w:rsidR="00D25238" w:rsidRPr="00F0634E">
        <w:rPr>
          <w:rFonts w:ascii="Verdana" w:hAnsi="Verdana" w:cs="Open Sans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contribution for low-income earners</w:t>
      </w:r>
    </w:p>
    <w:p w14:paraId="05821093" w14:textId="0190817C" w:rsidR="002E7F0F" w:rsidRPr="00F0634E" w:rsidRDefault="00FF4E3F" w:rsidP="001568C9">
      <w:pPr>
        <w:rPr>
          <w:rFonts w:ascii="Verdana" w:hAnsi="Verdana"/>
          <w:color w:val="000000" w:themeColor="text1"/>
          <w:sz w:val="20"/>
          <w:szCs w:val="20"/>
        </w:rPr>
      </w:pPr>
      <w:r w:rsidRPr="00F0634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The $450 monthly earnings threshold for superannuation contributions will be removed on 1 July 2022. Under the change, employers will be required to pay the superannuation guarantee on the wages of employees’ earning less than $450 per month. </w:t>
      </w:r>
      <w:r w:rsidR="00D25238" w:rsidRPr="00F0634E">
        <w:rPr>
          <w:rFonts w:ascii="Verdana" w:hAnsi="Verdana" w:cs="Open Sans"/>
          <w:color w:val="000000" w:themeColor="text1"/>
          <w:sz w:val="20"/>
          <w:szCs w:val="20"/>
        </w:rPr>
        <w:t xml:space="preserve">This change does not </w:t>
      </w:r>
      <w:r w:rsidR="007554B6" w:rsidRPr="00F0634E">
        <w:rPr>
          <w:rFonts w:ascii="Verdana" w:hAnsi="Verdana" w:cs="Open Sans"/>
          <w:color w:val="000000" w:themeColor="text1"/>
          <w:sz w:val="20"/>
          <w:szCs w:val="20"/>
        </w:rPr>
        <w:t>affect employees</w:t>
      </w:r>
      <w:r w:rsidR="00D25238" w:rsidRPr="00F0634E">
        <w:rPr>
          <w:rFonts w:ascii="Verdana" w:hAnsi="Verdana" w:cs="Open Sans"/>
          <w:color w:val="000000" w:themeColor="text1"/>
          <w:sz w:val="20"/>
          <w:szCs w:val="20"/>
        </w:rPr>
        <w:t xml:space="preserve"> under 18 </w:t>
      </w:r>
      <w:r w:rsidR="007554B6" w:rsidRPr="00F0634E">
        <w:rPr>
          <w:rFonts w:ascii="Verdana" w:hAnsi="Verdana" w:cs="Open Sans"/>
          <w:color w:val="000000" w:themeColor="text1"/>
          <w:sz w:val="20"/>
          <w:szCs w:val="20"/>
        </w:rPr>
        <w:t xml:space="preserve">years old </w:t>
      </w:r>
      <w:r w:rsidR="00DE0A93" w:rsidRPr="00F0634E">
        <w:rPr>
          <w:rFonts w:ascii="Verdana" w:hAnsi="Verdana" w:cs="Open Sans"/>
          <w:color w:val="000000" w:themeColor="text1"/>
          <w:sz w:val="20"/>
          <w:szCs w:val="20"/>
        </w:rPr>
        <w:t xml:space="preserve">that are </w:t>
      </w:r>
      <w:r w:rsidR="00D25238" w:rsidRPr="00F0634E">
        <w:rPr>
          <w:rFonts w:ascii="Verdana" w:hAnsi="Verdana" w:cs="Open Sans"/>
          <w:color w:val="000000" w:themeColor="text1"/>
          <w:sz w:val="20"/>
          <w:szCs w:val="20"/>
        </w:rPr>
        <w:t>working less than 30 hours per week.</w:t>
      </w:r>
    </w:p>
    <w:p w14:paraId="7767500B" w14:textId="1AC9E36A" w:rsidR="00D25238" w:rsidRPr="00F0634E" w:rsidRDefault="00FF4E3F" w:rsidP="00420AA1">
      <w:pPr>
        <w:shd w:val="clear" w:color="auto" w:fill="FFFFFF"/>
        <w:spacing w:before="120"/>
        <w:textAlignment w:val="baseline"/>
        <w:rPr>
          <w:rFonts w:ascii="Verdana" w:hAnsi="Verdana" w:cs="Open Sans"/>
          <w:color w:val="000000" w:themeColor="text1"/>
          <w:sz w:val="20"/>
          <w:szCs w:val="20"/>
        </w:rPr>
      </w:pPr>
      <w:r w:rsidRPr="00F0634E">
        <w:rPr>
          <w:rFonts w:ascii="Verdana" w:hAnsi="Verdana" w:cs="Open Sans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2. </w:t>
      </w:r>
      <w:r w:rsidR="00DE0A93" w:rsidRPr="00F0634E">
        <w:rPr>
          <w:rFonts w:ascii="Verdana" w:hAnsi="Verdana" w:cs="Open Sans"/>
          <w:b/>
          <w:bCs/>
          <w:color w:val="000000" w:themeColor="text1"/>
          <w:sz w:val="20"/>
          <w:szCs w:val="20"/>
          <w:bdr w:val="none" w:sz="0" w:space="0" w:color="auto" w:frame="1"/>
        </w:rPr>
        <w:t>Superannuation Guarantee (</w:t>
      </w:r>
      <w:r w:rsidR="00D25238" w:rsidRPr="00F0634E">
        <w:rPr>
          <w:rFonts w:ascii="Verdana" w:hAnsi="Verdana" w:cs="Open Sans"/>
          <w:b/>
          <w:bCs/>
          <w:color w:val="000000" w:themeColor="text1"/>
          <w:sz w:val="20"/>
          <w:szCs w:val="20"/>
          <w:bdr w:val="none" w:sz="0" w:space="0" w:color="auto" w:frame="1"/>
        </w:rPr>
        <w:t>SG</w:t>
      </w:r>
      <w:r w:rsidR="00DE0A93" w:rsidRPr="00F0634E">
        <w:rPr>
          <w:rFonts w:ascii="Verdana" w:hAnsi="Verdana" w:cs="Open Sans"/>
          <w:b/>
          <w:bCs/>
          <w:color w:val="000000" w:themeColor="text1"/>
          <w:sz w:val="20"/>
          <w:szCs w:val="20"/>
          <w:bdr w:val="none" w:sz="0" w:space="0" w:color="auto" w:frame="1"/>
        </w:rPr>
        <w:t>)</w:t>
      </w:r>
      <w:r w:rsidR="00D25238" w:rsidRPr="00F0634E">
        <w:rPr>
          <w:rFonts w:ascii="Verdana" w:hAnsi="Verdana" w:cs="Open Sans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contribution rate increase to 10.5%</w:t>
      </w:r>
    </w:p>
    <w:p w14:paraId="3752450A" w14:textId="4541BBF0" w:rsidR="00FF4E3F" w:rsidRPr="00F0634E" w:rsidRDefault="00FF4E3F" w:rsidP="00FF4E3F">
      <w:pPr>
        <w:rPr>
          <w:rFonts w:ascii="Verdana" w:hAnsi="Verdana"/>
          <w:color w:val="000000" w:themeColor="text1"/>
          <w:sz w:val="20"/>
          <w:szCs w:val="20"/>
        </w:rPr>
      </w:pPr>
      <w:r w:rsidRPr="00F0634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The </w:t>
      </w:r>
      <w:r w:rsidR="007554B6" w:rsidRPr="00F0634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2022 </w:t>
      </w:r>
      <w:r w:rsidRPr="00F0634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Federal Budget has maintained </w:t>
      </w:r>
      <w:r w:rsidRPr="00F0634E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the </w:t>
      </w:r>
      <w:r w:rsidR="007554B6" w:rsidRPr="00F0634E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>increase in</w:t>
      </w:r>
      <w:r w:rsidR="004D7306" w:rsidRPr="00F0634E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SG </w:t>
      </w:r>
      <w:r w:rsidRPr="00F0634E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>12%</w:t>
      </w:r>
      <w:r w:rsidRPr="00F0634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From </w:t>
      </w:r>
      <w:r w:rsidR="004D7306" w:rsidRPr="00F0634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1 </w:t>
      </w:r>
      <w:r w:rsidRPr="00F0634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July 2022, the </w:t>
      </w:r>
      <w:r w:rsidR="004D7306" w:rsidRPr="00F0634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SG </w:t>
      </w:r>
      <w:r w:rsidRPr="00F0634E">
        <w:rPr>
          <w:rFonts w:ascii="Verdana" w:hAnsi="Verdana" w:cs="Arial"/>
          <w:strike/>
          <w:color w:val="000000" w:themeColor="text1"/>
          <w:sz w:val="20"/>
          <w:szCs w:val="20"/>
          <w:shd w:val="clear" w:color="auto" w:fill="FFFFFF"/>
        </w:rPr>
        <w:t>Super Guarantee</w:t>
      </w:r>
      <w:r w:rsidRPr="00F0634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increases to 10.5%. It will increase by 0.5% on 1 July each year until</w:t>
      </w:r>
      <w:r w:rsidR="004D7306" w:rsidRPr="00F0634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the rate </w:t>
      </w:r>
      <w:r w:rsidRPr="00F0634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reaches 12% in 2025.</w:t>
      </w:r>
    </w:p>
    <w:p w14:paraId="51769FDE" w14:textId="11244406" w:rsidR="00D25238" w:rsidRPr="00F0634E" w:rsidRDefault="00D25238" w:rsidP="002E7F0F">
      <w:pPr>
        <w:shd w:val="clear" w:color="auto" w:fill="FFFFFF"/>
        <w:textAlignment w:val="baseline"/>
        <w:rPr>
          <w:rFonts w:ascii="Verdana" w:hAnsi="Verdana" w:cs="Open Sans"/>
          <w:color w:val="000000" w:themeColor="text1"/>
          <w:sz w:val="20"/>
          <w:szCs w:val="20"/>
        </w:rPr>
      </w:pPr>
      <w:r w:rsidRPr="00F0634E">
        <w:rPr>
          <w:rFonts w:ascii="Verdana" w:hAnsi="Verdana" w:cs="Open Sans"/>
          <w:color w:val="000000" w:themeColor="text1"/>
          <w:sz w:val="20"/>
          <w:szCs w:val="20"/>
        </w:rPr>
        <w:t>The current SG contribution rate is at 10%. From 1 July 2022, this rate will increase to 10.5%. This will increase progressively to 12% by July 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73"/>
      </w:tblGrid>
      <w:tr w:rsidR="00F0634E" w:rsidRPr="00F0634E" w14:paraId="52DD5709" w14:textId="77777777" w:rsidTr="00BC1220">
        <w:tc>
          <w:tcPr>
            <w:tcW w:w="5382" w:type="dxa"/>
          </w:tcPr>
          <w:p w14:paraId="1D590491" w14:textId="0F01A626" w:rsidR="00D25238" w:rsidRPr="00F0634E" w:rsidRDefault="00D25238" w:rsidP="002E7F0F">
            <w:pPr>
              <w:textAlignment w:val="baseline"/>
              <w:rPr>
                <w:rFonts w:ascii="Verdana" w:hAnsi="Verdana" w:cs="Open Sans"/>
                <w:b/>
                <w:bCs/>
                <w:color w:val="000000" w:themeColor="text1"/>
                <w:sz w:val="20"/>
                <w:szCs w:val="20"/>
              </w:rPr>
            </w:pPr>
            <w:r w:rsidRPr="00F0634E">
              <w:rPr>
                <w:rFonts w:ascii="Verdana" w:hAnsi="Verdana" w:cs="Open Sans"/>
                <w:b/>
                <w:bCs/>
                <w:color w:val="000000" w:themeColor="text1"/>
                <w:sz w:val="20"/>
                <w:szCs w:val="20"/>
              </w:rPr>
              <w:t>Period</w:t>
            </w:r>
          </w:p>
        </w:tc>
        <w:tc>
          <w:tcPr>
            <w:tcW w:w="3673" w:type="dxa"/>
          </w:tcPr>
          <w:p w14:paraId="7B10E991" w14:textId="6563B0D5" w:rsidR="00D25238" w:rsidRPr="00F0634E" w:rsidRDefault="00D25238" w:rsidP="002E7F0F">
            <w:pPr>
              <w:textAlignment w:val="baseline"/>
              <w:rPr>
                <w:rFonts w:ascii="Verdana" w:hAnsi="Verdana" w:cs="Open Sans"/>
                <w:b/>
                <w:bCs/>
                <w:color w:val="000000" w:themeColor="text1"/>
                <w:sz w:val="20"/>
                <w:szCs w:val="20"/>
              </w:rPr>
            </w:pPr>
            <w:r w:rsidRPr="00F0634E">
              <w:rPr>
                <w:rFonts w:ascii="Verdana" w:hAnsi="Verdana" w:cs="Open Sans"/>
                <w:b/>
                <w:bCs/>
                <w:color w:val="000000" w:themeColor="text1"/>
                <w:sz w:val="20"/>
                <w:szCs w:val="20"/>
              </w:rPr>
              <w:t xml:space="preserve">Super Guarantee </w:t>
            </w:r>
            <w:r w:rsidR="00B85D8F" w:rsidRPr="00F0634E">
              <w:rPr>
                <w:rFonts w:ascii="Verdana" w:hAnsi="Verdana" w:cs="Open Sans"/>
                <w:b/>
                <w:bCs/>
                <w:color w:val="000000" w:themeColor="text1"/>
                <w:sz w:val="20"/>
                <w:szCs w:val="20"/>
              </w:rPr>
              <w:t xml:space="preserve">Charge </w:t>
            </w:r>
            <w:r w:rsidRPr="00F0634E">
              <w:rPr>
                <w:rFonts w:ascii="Verdana" w:hAnsi="Verdana" w:cs="Open Sans"/>
                <w:b/>
                <w:bCs/>
                <w:color w:val="000000" w:themeColor="text1"/>
                <w:sz w:val="20"/>
                <w:szCs w:val="20"/>
              </w:rPr>
              <w:t>Rate</w:t>
            </w:r>
          </w:p>
        </w:tc>
      </w:tr>
      <w:tr w:rsidR="00F0634E" w:rsidRPr="00F0634E" w14:paraId="62F454F5" w14:textId="77777777" w:rsidTr="00BC1220">
        <w:tc>
          <w:tcPr>
            <w:tcW w:w="5382" w:type="dxa"/>
          </w:tcPr>
          <w:p w14:paraId="1060DBC0" w14:textId="1C75E533" w:rsidR="00D25238" w:rsidRPr="00F0634E" w:rsidRDefault="00D25238" w:rsidP="002E7F0F">
            <w:pPr>
              <w:textAlignment w:val="baseline"/>
              <w:rPr>
                <w:rFonts w:ascii="Verdana" w:hAnsi="Verdana" w:cs="Open Sans"/>
                <w:color w:val="000000" w:themeColor="text1"/>
                <w:sz w:val="20"/>
                <w:szCs w:val="20"/>
              </w:rPr>
            </w:pPr>
            <w:r w:rsidRPr="00F0634E">
              <w:rPr>
                <w:rFonts w:ascii="Verdana" w:hAnsi="Verdana" w:cs="Open Sans"/>
                <w:color w:val="000000" w:themeColor="text1"/>
                <w:sz w:val="20"/>
                <w:szCs w:val="20"/>
              </w:rPr>
              <w:t>1 July 2021 to 30 June 2022</w:t>
            </w:r>
          </w:p>
        </w:tc>
        <w:tc>
          <w:tcPr>
            <w:tcW w:w="3673" w:type="dxa"/>
          </w:tcPr>
          <w:p w14:paraId="6EDB024E" w14:textId="2796D4A3" w:rsidR="00D25238" w:rsidRPr="00F0634E" w:rsidRDefault="00D25238" w:rsidP="002E7F0F">
            <w:pPr>
              <w:textAlignment w:val="baseline"/>
              <w:rPr>
                <w:rFonts w:ascii="Verdana" w:hAnsi="Verdana" w:cs="Open Sans"/>
                <w:color w:val="000000" w:themeColor="text1"/>
                <w:sz w:val="20"/>
                <w:szCs w:val="20"/>
              </w:rPr>
            </w:pPr>
            <w:r w:rsidRPr="00F0634E">
              <w:rPr>
                <w:rFonts w:ascii="Verdana" w:hAnsi="Verdana" w:cs="Open Sans"/>
                <w:color w:val="000000" w:themeColor="text1"/>
                <w:sz w:val="20"/>
                <w:szCs w:val="20"/>
              </w:rPr>
              <w:t>10%</w:t>
            </w:r>
          </w:p>
        </w:tc>
      </w:tr>
      <w:tr w:rsidR="00F0634E" w:rsidRPr="00F0634E" w14:paraId="0448421D" w14:textId="77777777" w:rsidTr="00BC1220">
        <w:tc>
          <w:tcPr>
            <w:tcW w:w="5382" w:type="dxa"/>
          </w:tcPr>
          <w:p w14:paraId="319500A7" w14:textId="1CBBEE51" w:rsidR="00D25238" w:rsidRPr="00F0634E" w:rsidRDefault="00D25238" w:rsidP="002E7F0F">
            <w:pPr>
              <w:textAlignment w:val="baseline"/>
              <w:rPr>
                <w:rFonts w:ascii="Verdana" w:hAnsi="Verdana" w:cs="Open Sans"/>
                <w:color w:val="000000" w:themeColor="text1"/>
                <w:sz w:val="20"/>
                <w:szCs w:val="20"/>
              </w:rPr>
            </w:pPr>
            <w:r w:rsidRPr="00F0634E">
              <w:rPr>
                <w:rFonts w:ascii="Verdana" w:hAnsi="Verdana" w:cs="Open Sans"/>
                <w:color w:val="000000" w:themeColor="text1"/>
                <w:sz w:val="20"/>
                <w:szCs w:val="20"/>
              </w:rPr>
              <w:t>1 July 2022 to 30 June 2023</w:t>
            </w:r>
          </w:p>
        </w:tc>
        <w:tc>
          <w:tcPr>
            <w:tcW w:w="3673" w:type="dxa"/>
          </w:tcPr>
          <w:p w14:paraId="3C46D438" w14:textId="20949014" w:rsidR="00D25238" w:rsidRPr="00F0634E" w:rsidRDefault="00D25238" w:rsidP="002E7F0F">
            <w:pPr>
              <w:textAlignment w:val="baseline"/>
              <w:rPr>
                <w:rFonts w:ascii="Verdana" w:hAnsi="Verdana" w:cs="Open Sans"/>
                <w:color w:val="000000" w:themeColor="text1"/>
                <w:sz w:val="20"/>
                <w:szCs w:val="20"/>
              </w:rPr>
            </w:pPr>
            <w:r w:rsidRPr="00F0634E">
              <w:rPr>
                <w:rFonts w:ascii="Verdana" w:hAnsi="Verdana" w:cs="Open Sans"/>
                <w:color w:val="000000" w:themeColor="text1"/>
                <w:sz w:val="20"/>
                <w:szCs w:val="20"/>
              </w:rPr>
              <w:t>10.5%</w:t>
            </w:r>
          </w:p>
        </w:tc>
      </w:tr>
      <w:tr w:rsidR="00F0634E" w:rsidRPr="00F0634E" w14:paraId="2DE65488" w14:textId="77777777" w:rsidTr="00BC1220">
        <w:tc>
          <w:tcPr>
            <w:tcW w:w="5382" w:type="dxa"/>
          </w:tcPr>
          <w:p w14:paraId="20E9A2CF" w14:textId="1A48DB6D" w:rsidR="00D25238" w:rsidRPr="00F0634E" w:rsidRDefault="00D25238" w:rsidP="002E7F0F">
            <w:pPr>
              <w:textAlignment w:val="baseline"/>
              <w:rPr>
                <w:rFonts w:ascii="Verdana" w:hAnsi="Verdana" w:cs="Open Sans"/>
                <w:color w:val="000000" w:themeColor="text1"/>
                <w:sz w:val="20"/>
                <w:szCs w:val="20"/>
              </w:rPr>
            </w:pPr>
            <w:r w:rsidRPr="00F0634E">
              <w:rPr>
                <w:rFonts w:ascii="Verdana" w:hAnsi="Verdana" w:cs="Open Sans"/>
                <w:color w:val="000000" w:themeColor="text1"/>
                <w:sz w:val="20"/>
                <w:szCs w:val="20"/>
              </w:rPr>
              <w:t>1 July 2023 to 30 June 2024</w:t>
            </w:r>
          </w:p>
        </w:tc>
        <w:tc>
          <w:tcPr>
            <w:tcW w:w="3673" w:type="dxa"/>
          </w:tcPr>
          <w:p w14:paraId="3E17B0CC" w14:textId="28D8C42B" w:rsidR="00D25238" w:rsidRPr="00F0634E" w:rsidRDefault="00D25238" w:rsidP="002E7F0F">
            <w:pPr>
              <w:textAlignment w:val="baseline"/>
              <w:rPr>
                <w:rFonts w:ascii="Verdana" w:hAnsi="Verdana" w:cs="Open Sans"/>
                <w:color w:val="000000" w:themeColor="text1"/>
                <w:sz w:val="20"/>
                <w:szCs w:val="20"/>
              </w:rPr>
            </w:pPr>
            <w:r w:rsidRPr="00F0634E">
              <w:rPr>
                <w:rFonts w:ascii="Verdana" w:hAnsi="Verdana" w:cs="Open Sans"/>
                <w:color w:val="000000" w:themeColor="text1"/>
                <w:sz w:val="20"/>
                <w:szCs w:val="20"/>
              </w:rPr>
              <w:t>11%</w:t>
            </w:r>
          </w:p>
        </w:tc>
      </w:tr>
      <w:tr w:rsidR="00F0634E" w:rsidRPr="00F0634E" w14:paraId="2540D2A4" w14:textId="77777777" w:rsidTr="00BC1220">
        <w:tc>
          <w:tcPr>
            <w:tcW w:w="5382" w:type="dxa"/>
          </w:tcPr>
          <w:p w14:paraId="7E583FC5" w14:textId="21D2DCE5" w:rsidR="00D25238" w:rsidRPr="00F0634E" w:rsidRDefault="00D25238" w:rsidP="002E7F0F">
            <w:pPr>
              <w:textAlignment w:val="baseline"/>
              <w:rPr>
                <w:rFonts w:ascii="Verdana" w:hAnsi="Verdana" w:cs="Open Sans"/>
                <w:color w:val="000000" w:themeColor="text1"/>
                <w:sz w:val="20"/>
                <w:szCs w:val="20"/>
              </w:rPr>
            </w:pPr>
            <w:r w:rsidRPr="00F0634E">
              <w:rPr>
                <w:rFonts w:ascii="Verdana" w:hAnsi="Verdana" w:cs="Open Sans"/>
                <w:color w:val="000000" w:themeColor="text1"/>
                <w:sz w:val="20"/>
                <w:szCs w:val="20"/>
              </w:rPr>
              <w:t>1 July 2024 to 30 June 2025</w:t>
            </w:r>
          </w:p>
        </w:tc>
        <w:tc>
          <w:tcPr>
            <w:tcW w:w="3673" w:type="dxa"/>
          </w:tcPr>
          <w:p w14:paraId="1A93701D" w14:textId="7205A141" w:rsidR="00D25238" w:rsidRPr="00F0634E" w:rsidRDefault="00D25238" w:rsidP="002E7F0F">
            <w:pPr>
              <w:textAlignment w:val="baseline"/>
              <w:rPr>
                <w:rFonts w:ascii="Verdana" w:hAnsi="Verdana" w:cs="Open Sans"/>
                <w:color w:val="000000" w:themeColor="text1"/>
                <w:sz w:val="20"/>
                <w:szCs w:val="20"/>
              </w:rPr>
            </w:pPr>
            <w:r w:rsidRPr="00F0634E">
              <w:rPr>
                <w:rFonts w:ascii="Verdana" w:hAnsi="Verdana" w:cs="Open Sans"/>
                <w:color w:val="000000" w:themeColor="text1"/>
                <w:sz w:val="20"/>
                <w:szCs w:val="20"/>
              </w:rPr>
              <w:t>11.5%</w:t>
            </w:r>
          </w:p>
        </w:tc>
      </w:tr>
      <w:tr w:rsidR="00F0634E" w:rsidRPr="00F0634E" w14:paraId="1BC9BD4A" w14:textId="77777777" w:rsidTr="00813757">
        <w:trPr>
          <w:cantSplit/>
        </w:trPr>
        <w:tc>
          <w:tcPr>
            <w:tcW w:w="5382" w:type="dxa"/>
          </w:tcPr>
          <w:p w14:paraId="0BCAC05D" w14:textId="5071772B" w:rsidR="00D25238" w:rsidRPr="00F0634E" w:rsidRDefault="00D25238" w:rsidP="002E7F0F">
            <w:pPr>
              <w:textAlignment w:val="baseline"/>
              <w:rPr>
                <w:rFonts w:ascii="Verdana" w:hAnsi="Verdana" w:cs="Open Sans"/>
                <w:color w:val="000000" w:themeColor="text1"/>
                <w:sz w:val="20"/>
                <w:szCs w:val="20"/>
              </w:rPr>
            </w:pPr>
            <w:r w:rsidRPr="00F0634E">
              <w:rPr>
                <w:rFonts w:ascii="Verdana" w:hAnsi="Verdana" w:cs="Open Sans"/>
                <w:color w:val="000000" w:themeColor="text1"/>
                <w:sz w:val="20"/>
                <w:szCs w:val="20"/>
              </w:rPr>
              <w:t>1 July 2024 to 30 June 2025</w:t>
            </w:r>
          </w:p>
        </w:tc>
        <w:tc>
          <w:tcPr>
            <w:tcW w:w="3673" w:type="dxa"/>
          </w:tcPr>
          <w:p w14:paraId="7C426FD8" w14:textId="3799FFCC" w:rsidR="00D25238" w:rsidRPr="00F0634E" w:rsidRDefault="00D25238" w:rsidP="002E7F0F">
            <w:pPr>
              <w:textAlignment w:val="baseline"/>
              <w:rPr>
                <w:rFonts w:ascii="Verdana" w:hAnsi="Verdana" w:cs="Open Sans"/>
                <w:color w:val="000000" w:themeColor="text1"/>
                <w:sz w:val="20"/>
                <w:szCs w:val="20"/>
              </w:rPr>
            </w:pPr>
            <w:r w:rsidRPr="00F0634E">
              <w:rPr>
                <w:rFonts w:ascii="Verdana" w:hAnsi="Verdana" w:cs="Open Sans"/>
                <w:color w:val="000000" w:themeColor="text1"/>
                <w:sz w:val="20"/>
                <w:szCs w:val="20"/>
              </w:rPr>
              <w:t>12%</w:t>
            </w:r>
          </w:p>
        </w:tc>
      </w:tr>
    </w:tbl>
    <w:p w14:paraId="3B478964" w14:textId="77777777" w:rsidR="00BB0E68" w:rsidRPr="00F0634E" w:rsidRDefault="00BB0E68" w:rsidP="00420AA1">
      <w:pPr>
        <w:pStyle w:val="Heading4"/>
        <w:shd w:val="clear" w:color="auto" w:fill="FFFFFF"/>
        <w:spacing w:before="120"/>
        <w:rPr>
          <w:rFonts w:ascii="Verdana" w:hAnsi="Verdana"/>
          <w:b/>
          <w:bCs/>
          <w:i w:val="0"/>
          <w:iCs w:val="0"/>
          <w:color w:val="000000" w:themeColor="text1"/>
          <w:sz w:val="20"/>
          <w:szCs w:val="20"/>
        </w:rPr>
      </w:pPr>
      <w:r w:rsidRPr="00F0634E">
        <w:rPr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t xml:space="preserve">3. </w:t>
      </w:r>
      <w:r w:rsidRPr="00F0634E">
        <w:rPr>
          <w:rFonts w:ascii="Verdana" w:hAnsi="Verdana"/>
          <w:b/>
          <w:bCs/>
          <w:i w:val="0"/>
          <w:iCs w:val="0"/>
          <w:color w:val="000000" w:themeColor="text1"/>
          <w:sz w:val="20"/>
          <w:szCs w:val="20"/>
        </w:rPr>
        <w:t>Abolishing the work test for retirees</w:t>
      </w:r>
    </w:p>
    <w:p w14:paraId="357F5AFB" w14:textId="6DA7E94A" w:rsidR="00BB0E68" w:rsidRPr="00F0634E" w:rsidRDefault="00BB0E68" w:rsidP="00BB0E6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 w:rsidRPr="00F0634E">
        <w:rPr>
          <w:rFonts w:ascii="Verdana" w:hAnsi="Verdana"/>
          <w:color w:val="000000" w:themeColor="text1"/>
          <w:sz w:val="20"/>
          <w:szCs w:val="20"/>
        </w:rPr>
        <w:t xml:space="preserve">The work test will be abolished on 1 July 2022. Under the change, retirees aged between 67 and 74 can </w:t>
      </w:r>
      <w:r w:rsidR="004D7306" w:rsidRPr="00F0634E">
        <w:rPr>
          <w:rFonts w:ascii="Verdana" w:hAnsi="Verdana"/>
          <w:color w:val="000000" w:themeColor="text1"/>
          <w:sz w:val="20"/>
          <w:szCs w:val="20"/>
        </w:rPr>
        <w:t xml:space="preserve">contribute to </w:t>
      </w:r>
      <w:r w:rsidRPr="00F0634E">
        <w:rPr>
          <w:rFonts w:ascii="Verdana" w:hAnsi="Verdana"/>
          <w:color w:val="000000" w:themeColor="text1"/>
          <w:sz w:val="20"/>
          <w:szCs w:val="20"/>
        </w:rPr>
        <w:t>their super</w:t>
      </w:r>
      <w:r w:rsidR="00DE0A93" w:rsidRPr="00F0634E">
        <w:rPr>
          <w:rFonts w:ascii="Verdana" w:hAnsi="Verdana"/>
          <w:color w:val="000000" w:themeColor="text1"/>
          <w:sz w:val="20"/>
          <w:szCs w:val="20"/>
        </w:rPr>
        <w:t>annuation</w:t>
      </w:r>
      <w:r w:rsidRPr="00F0634E">
        <w:rPr>
          <w:rFonts w:ascii="Verdana" w:hAnsi="Verdana"/>
          <w:color w:val="000000" w:themeColor="text1"/>
          <w:sz w:val="20"/>
          <w:szCs w:val="20"/>
        </w:rPr>
        <w:t xml:space="preserve"> without having to satisfy any </w:t>
      </w:r>
      <w:r w:rsidR="004D7306" w:rsidRPr="00F0634E">
        <w:rPr>
          <w:rFonts w:ascii="Verdana" w:hAnsi="Verdana"/>
          <w:color w:val="000000" w:themeColor="text1"/>
          <w:sz w:val="20"/>
          <w:szCs w:val="20"/>
        </w:rPr>
        <w:t xml:space="preserve">work </w:t>
      </w:r>
      <w:r w:rsidRPr="00F0634E">
        <w:rPr>
          <w:rFonts w:ascii="Verdana" w:hAnsi="Verdana"/>
          <w:color w:val="000000" w:themeColor="text1"/>
          <w:sz w:val="20"/>
          <w:szCs w:val="20"/>
        </w:rPr>
        <w:t>test</w:t>
      </w:r>
      <w:r w:rsidR="004D7306" w:rsidRPr="00F0634E">
        <w:rPr>
          <w:rFonts w:ascii="Verdana" w:hAnsi="Verdana"/>
          <w:color w:val="000000" w:themeColor="text1"/>
          <w:sz w:val="20"/>
          <w:szCs w:val="20"/>
        </w:rPr>
        <w:t>,</w:t>
      </w:r>
      <w:r w:rsidRPr="00F0634E">
        <w:rPr>
          <w:rFonts w:ascii="Verdana" w:hAnsi="Verdana"/>
          <w:color w:val="000000" w:themeColor="text1"/>
          <w:sz w:val="20"/>
          <w:szCs w:val="20"/>
        </w:rPr>
        <w:t xml:space="preserve"> provided their </w:t>
      </w:r>
      <w:r w:rsidR="004D7306" w:rsidRPr="00F0634E">
        <w:rPr>
          <w:rFonts w:ascii="Verdana" w:hAnsi="Verdana"/>
          <w:color w:val="000000" w:themeColor="text1"/>
          <w:sz w:val="20"/>
          <w:szCs w:val="20"/>
        </w:rPr>
        <w:t>superannuation</w:t>
      </w:r>
      <w:r w:rsidRPr="00F0634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D7306" w:rsidRPr="00F0634E">
        <w:rPr>
          <w:rFonts w:ascii="Verdana" w:hAnsi="Verdana"/>
          <w:color w:val="000000" w:themeColor="text1"/>
          <w:sz w:val="20"/>
          <w:szCs w:val="20"/>
        </w:rPr>
        <w:t xml:space="preserve">member balance </w:t>
      </w:r>
      <w:r w:rsidRPr="00F0634E">
        <w:rPr>
          <w:rFonts w:ascii="Verdana" w:hAnsi="Verdana"/>
          <w:color w:val="000000" w:themeColor="text1"/>
          <w:sz w:val="20"/>
          <w:szCs w:val="20"/>
        </w:rPr>
        <w:t>is less than $1.6 million, rising to $1.7 million in July 2022.</w:t>
      </w:r>
    </w:p>
    <w:p w14:paraId="08912615" w14:textId="77777777" w:rsidR="00A143D1" w:rsidRPr="00F0634E" w:rsidRDefault="00A143D1" w:rsidP="002E7F0F">
      <w:pPr>
        <w:shd w:val="clear" w:color="auto" w:fill="FFFFFF"/>
        <w:textAlignment w:val="baseline"/>
        <w:rPr>
          <w:rFonts w:ascii="Verdana" w:hAnsi="Verdana" w:cs="Open Sans"/>
          <w:b/>
          <w:bCs/>
          <w:color w:val="000000" w:themeColor="text1"/>
          <w:sz w:val="20"/>
          <w:szCs w:val="20"/>
        </w:rPr>
      </w:pPr>
    </w:p>
    <w:p w14:paraId="1685CC42" w14:textId="135BFE52" w:rsidR="00BB0E68" w:rsidRPr="00F0634E" w:rsidRDefault="000B2847" w:rsidP="002E7F0F">
      <w:pPr>
        <w:shd w:val="clear" w:color="auto" w:fill="FFFFFF"/>
        <w:textAlignment w:val="baseline"/>
        <w:rPr>
          <w:rFonts w:ascii="Verdana" w:hAnsi="Verdana" w:cs="Open Sans"/>
          <w:b/>
          <w:bCs/>
          <w:strike/>
          <w:color w:val="000000" w:themeColor="text1"/>
          <w:sz w:val="20"/>
          <w:szCs w:val="20"/>
        </w:rPr>
      </w:pPr>
      <w:r w:rsidRPr="00F0634E">
        <w:rPr>
          <w:rFonts w:ascii="Verdana" w:hAnsi="Verdana" w:cs="Open Sans"/>
          <w:b/>
          <w:bCs/>
          <w:color w:val="000000" w:themeColor="text1"/>
          <w:sz w:val="20"/>
          <w:szCs w:val="20"/>
        </w:rPr>
        <w:t>What is required in your accounting system</w:t>
      </w:r>
      <w:r w:rsidR="00F0634E" w:rsidRPr="00F0634E">
        <w:rPr>
          <w:rFonts w:ascii="Verdana" w:hAnsi="Verdana" w:cs="Open Sans"/>
          <w:b/>
          <w:bCs/>
          <w:strike/>
          <w:color w:val="000000" w:themeColor="text1"/>
          <w:sz w:val="20"/>
          <w:szCs w:val="20"/>
        </w:rPr>
        <w:t>?</w:t>
      </w:r>
    </w:p>
    <w:p w14:paraId="79101FD9" w14:textId="3D25E931" w:rsidR="00D25238" w:rsidRPr="00F0634E" w:rsidRDefault="002E7F0F" w:rsidP="002E7F0F">
      <w:pPr>
        <w:shd w:val="clear" w:color="auto" w:fill="FFFFFF"/>
        <w:textAlignment w:val="baseline"/>
        <w:rPr>
          <w:rFonts w:ascii="Verdana" w:hAnsi="Verdana" w:cs="Open Sans"/>
          <w:color w:val="000000" w:themeColor="text1"/>
          <w:sz w:val="20"/>
          <w:szCs w:val="20"/>
        </w:rPr>
      </w:pPr>
      <w:r w:rsidRPr="00F0634E">
        <w:rPr>
          <w:rFonts w:ascii="Verdana" w:hAnsi="Verdana" w:cs="Open Sans"/>
          <w:color w:val="000000" w:themeColor="text1"/>
          <w:sz w:val="20"/>
          <w:szCs w:val="20"/>
        </w:rPr>
        <w:t xml:space="preserve">Make sure that you </w:t>
      </w:r>
      <w:r w:rsidR="00D25238" w:rsidRPr="00F0634E">
        <w:rPr>
          <w:rFonts w:ascii="Verdana" w:hAnsi="Verdana" w:cs="Open Sans"/>
          <w:color w:val="000000" w:themeColor="text1"/>
          <w:sz w:val="20"/>
          <w:szCs w:val="20"/>
        </w:rPr>
        <w:t xml:space="preserve">check and ensure your payroll and accounting systems are updated for </w:t>
      </w:r>
      <w:r w:rsidR="004D7306" w:rsidRPr="00F0634E">
        <w:rPr>
          <w:rFonts w:ascii="Verdana" w:hAnsi="Verdana" w:cs="Open Sans"/>
          <w:color w:val="000000" w:themeColor="text1"/>
          <w:sz w:val="20"/>
          <w:szCs w:val="20"/>
        </w:rPr>
        <w:t xml:space="preserve">the </w:t>
      </w:r>
      <w:r w:rsidR="00AE111F" w:rsidRPr="00F0634E">
        <w:rPr>
          <w:rFonts w:ascii="Verdana" w:hAnsi="Verdana" w:cs="Open Sans"/>
          <w:color w:val="000000" w:themeColor="text1"/>
          <w:sz w:val="20"/>
          <w:szCs w:val="20"/>
        </w:rPr>
        <w:t xml:space="preserve">upcoming </w:t>
      </w:r>
      <w:r w:rsidR="004D7306" w:rsidRPr="00F0634E">
        <w:rPr>
          <w:rFonts w:ascii="Verdana" w:hAnsi="Verdana" w:cs="Open Sans"/>
          <w:color w:val="000000" w:themeColor="text1"/>
          <w:sz w:val="20"/>
          <w:szCs w:val="20"/>
        </w:rPr>
        <w:t xml:space="preserve">changes </w:t>
      </w:r>
      <w:r w:rsidR="00D25238" w:rsidRPr="00F0634E">
        <w:rPr>
          <w:rFonts w:ascii="Verdana" w:hAnsi="Verdana" w:cs="Open Sans"/>
          <w:color w:val="000000" w:themeColor="text1"/>
          <w:sz w:val="20"/>
          <w:szCs w:val="20"/>
        </w:rPr>
        <w:t>after</w:t>
      </w:r>
      <w:r w:rsidR="00AE111F" w:rsidRPr="00F0634E">
        <w:rPr>
          <w:rFonts w:ascii="Verdana" w:hAnsi="Verdana" w:cs="Open Sans"/>
          <w:color w:val="000000" w:themeColor="text1"/>
          <w:sz w:val="20"/>
          <w:szCs w:val="20"/>
        </w:rPr>
        <w:t xml:space="preserve"> </w:t>
      </w:r>
      <w:r w:rsidR="00D25238" w:rsidRPr="00F0634E">
        <w:rPr>
          <w:rFonts w:ascii="Verdana" w:hAnsi="Verdana" w:cs="Open Sans"/>
          <w:color w:val="000000" w:themeColor="text1"/>
          <w:sz w:val="20"/>
          <w:szCs w:val="20"/>
        </w:rPr>
        <w:t>1 July 2022.</w:t>
      </w:r>
    </w:p>
    <w:p w14:paraId="22081D42" w14:textId="24D33075" w:rsidR="00D25238" w:rsidRPr="00F0634E" w:rsidRDefault="00D25238">
      <w:pPr>
        <w:rPr>
          <w:rFonts w:ascii="Verdana" w:hAnsi="Verdana"/>
          <w:color w:val="000000" w:themeColor="text1"/>
          <w:sz w:val="20"/>
          <w:szCs w:val="20"/>
        </w:rPr>
      </w:pPr>
    </w:p>
    <w:p w14:paraId="1ADF37EE" w14:textId="1D11CA8E" w:rsidR="002E7F0F" w:rsidRPr="00F0634E" w:rsidRDefault="002E7F0F" w:rsidP="002E7F0F">
      <w:pPr>
        <w:shd w:val="clear" w:color="auto" w:fill="FFFFFF"/>
        <w:textAlignment w:val="baseline"/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</w:pPr>
      <w:r w:rsidRPr="00F0634E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t>For Xero users</w:t>
      </w:r>
    </w:p>
    <w:p w14:paraId="397F8354" w14:textId="77777777" w:rsidR="00CC78C9" w:rsidRPr="00F0634E" w:rsidRDefault="00CC78C9">
      <w:pPr>
        <w:rPr>
          <w:rFonts w:ascii="Verdana" w:hAnsi="Verdana"/>
          <w:color w:val="000000" w:themeColor="text1"/>
          <w:sz w:val="20"/>
          <w:szCs w:val="20"/>
        </w:rPr>
      </w:pPr>
      <w:r w:rsidRPr="00F0634E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1. </w:t>
      </w:r>
      <w:r w:rsidR="007861AB" w:rsidRPr="00F0634E">
        <w:rPr>
          <w:rFonts w:ascii="Verdana" w:hAnsi="Verdana"/>
          <w:b/>
          <w:bCs/>
          <w:color w:val="000000" w:themeColor="text1"/>
          <w:sz w:val="20"/>
          <w:szCs w:val="20"/>
        </w:rPr>
        <w:t>To update the minimum Monthly earnings before superannuation is applied.</w:t>
      </w:r>
      <w:r w:rsidR="007861AB" w:rsidRPr="00F0634E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54F6CB39" w14:textId="482550AE" w:rsidR="002E7F0F" w:rsidRPr="00F0634E" w:rsidRDefault="00CC78C9">
      <w:pPr>
        <w:rPr>
          <w:rFonts w:ascii="Verdana" w:hAnsi="Verdana"/>
          <w:color w:val="000000" w:themeColor="text1"/>
          <w:sz w:val="20"/>
          <w:szCs w:val="20"/>
        </w:rPr>
      </w:pPr>
      <w:r w:rsidRPr="00F0634E">
        <w:rPr>
          <w:rFonts w:ascii="Verdana" w:hAnsi="Verdana"/>
          <w:color w:val="000000" w:themeColor="text1"/>
          <w:sz w:val="20"/>
          <w:szCs w:val="20"/>
        </w:rPr>
        <w:t>O</w:t>
      </w:r>
      <w:r w:rsidR="007861AB" w:rsidRPr="00F0634E">
        <w:rPr>
          <w:rFonts w:ascii="Verdana" w:hAnsi="Verdana"/>
          <w:color w:val="000000" w:themeColor="text1"/>
          <w:sz w:val="20"/>
          <w:szCs w:val="20"/>
        </w:rPr>
        <w:t xml:space="preserve">pen the Pay Template of each employee, click on the Superannuation Fund name and change the </w:t>
      </w:r>
      <w:r w:rsidRPr="00F0634E">
        <w:rPr>
          <w:rFonts w:ascii="Verdana" w:hAnsi="Verdana"/>
          <w:color w:val="000000" w:themeColor="text1"/>
          <w:sz w:val="20"/>
          <w:szCs w:val="20"/>
        </w:rPr>
        <w:t>Minimum Monthly Earnings amount to $0.</w:t>
      </w:r>
    </w:p>
    <w:p w14:paraId="344DA4A9" w14:textId="4476163C" w:rsidR="007861AB" w:rsidRPr="001568C9" w:rsidRDefault="00CC78C9">
      <w:pPr>
        <w:rPr>
          <w:rFonts w:ascii="Verdana" w:hAnsi="Verdana"/>
          <w:color w:val="000000" w:themeColor="text1"/>
          <w:sz w:val="20"/>
          <w:szCs w:val="20"/>
        </w:rPr>
      </w:pPr>
      <w:r w:rsidRPr="001568C9"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118A7270" wp14:editId="09160325">
            <wp:extent cx="2438400" cy="34544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57C26" w14:textId="1F1A857E" w:rsidR="00581764" w:rsidRPr="001568C9" w:rsidRDefault="00581764" w:rsidP="00581764">
      <w:pPr>
        <w:shd w:val="clear" w:color="auto" w:fill="FFFFFF"/>
        <w:textAlignment w:val="baseline"/>
        <w:rPr>
          <w:rFonts w:ascii="Verdana" w:hAnsi="Verdana" w:cs="Open Sans"/>
          <w:color w:val="000000" w:themeColor="text1"/>
          <w:sz w:val="20"/>
          <w:szCs w:val="20"/>
        </w:rPr>
      </w:pPr>
      <w:r w:rsidRPr="001568C9">
        <w:rPr>
          <w:rFonts w:ascii="Verdana" w:hAnsi="Verdana"/>
          <w:color w:val="000000" w:themeColor="text1"/>
          <w:sz w:val="20"/>
          <w:szCs w:val="20"/>
        </w:rPr>
        <w:t xml:space="preserve">NB you don’t need to make this adjustment for employees who are </w:t>
      </w:r>
      <w:r w:rsidRPr="001568C9">
        <w:rPr>
          <w:rFonts w:ascii="Verdana" w:hAnsi="Verdana" w:cs="Open Sans"/>
          <w:color w:val="000000" w:themeColor="text1"/>
          <w:sz w:val="20"/>
          <w:szCs w:val="20"/>
        </w:rPr>
        <w:t>under 18 and work less than 30 hours per week.</w:t>
      </w:r>
    </w:p>
    <w:p w14:paraId="013FD0C5" w14:textId="09C87E66" w:rsidR="00CC78C9" w:rsidRPr="001568C9" w:rsidRDefault="00CC78C9">
      <w:pPr>
        <w:rPr>
          <w:rFonts w:ascii="Verdana" w:hAnsi="Verdana"/>
          <w:color w:val="000000" w:themeColor="text1"/>
          <w:sz w:val="20"/>
          <w:szCs w:val="20"/>
        </w:rPr>
      </w:pPr>
    </w:p>
    <w:p w14:paraId="767CBB17" w14:textId="56D0D939" w:rsidR="00CC78C9" w:rsidRPr="001568C9" w:rsidRDefault="00CC78C9" w:rsidP="00CC78C9">
      <w:pPr>
        <w:shd w:val="clear" w:color="auto" w:fill="FFFFFF"/>
        <w:textAlignment w:val="baseline"/>
        <w:rPr>
          <w:rFonts w:ascii="Verdana" w:hAnsi="Verdana" w:cs="Open Sans"/>
          <w:color w:val="000000" w:themeColor="text1"/>
          <w:sz w:val="20"/>
          <w:szCs w:val="20"/>
        </w:rPr>
      </w:pPr>
      <w:r w:rsidRPr="001568C9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2. Change the </w:t>
      </w:r>
      <w:r w:rsidRPr="001568C9">
        <w:rPr>
          <w:rFonts w:ascii="Verdana" w:hAnsi="Verdana" w:cs="Open Sans"/>
          <w:b/>
          <w:bCs/>
          <w:color w:val="000000" w:themeColor="text1"/>
          <w:sz w:val="20"/>
          <w:szCs w:val="20"/>
          <w:bdr w:val="none" w:sz="0" w:space="0" w:color="auto" w:frame="1"/>
        </w:rPr>
        <w:t>SG contribution rate to 10.5%</w:t>
      </w:r>
    </w:p>
    <w:p w14:paraId="1E4C6E1C" w14:textId="2A225B1E" w:rsidR="00CC78C9" w:rsidRPr="001568C9" w:rsidRDefault="00CC78C9" w:rsidP="00CC78C9">
      <w:pPr>
        <w:rPr>
          <w:rFonts w:ascii="Verdana" w:hAnsi="Verdana"/>
          <w:color w:val="000000" w:themeColor="text1"/>
          <w:sz w:val="20"/>
          <w:szCs w:val="20"/>
        </w:rPr>
      </w:pPr>
      <w:r w:rsidRPr="001568C9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AA6217F" w14:textId="45AD2DA0" w:rsidR="00F1179B" w:rsidRPr="001568C9" w:rsidRDefault="00F1179B" w:rsidP="00CC78C9">
      <w:pPr>
        <w:rPr>
          <w:rFonts w:ascii="Verdana" w:hAnsi="Verdana"/>
          <w:color w:val="000000" w:themeColor="text1"/>
          <w:sz w:val="20"/>
          <w:szCs w:val="20"/>
        </w:rPr>
      </w:pPr>
      <w:r w:rsidRPr="001568C9">
        <w:rPr>
          <w:rFonts w:ascii="Verdana" w:hAnsi="Verdana"/>
          <w:color w:val="000000" w:themeColor="text1"/>
          <w:sz w:val="20"/>
          <w:szCs w:val="20"/>
        </w:rPr>
        <w:t xml:space="preserve">There are </w:t>
      </w:r>
      <w:r w:rsidRPr="001568C9">
        <w:rPr>
          <w:rFonts w:ascii="Verdana" w:hAnsi="Verdana"/>
          <w:b/>
          <w:bCs/>
          <w:color w:val="000000" w:themeColor="text1"/>
          <w:sz w:val="20"/>
          <w:szCs w:val="20"/>
        </w:rPr>
        <w:t>2 ways</w:t>
      </w:r>
      <w:r w:rsidRPr="001568C9">
        <w:rPr>
          <w:rFonts w:ascii="Verdana" w:hAnsi="Verdana"/>
          <w:color w:val="000000" w:themeColor="text1"/>
          <w:sz w:val="20"/>
          <w:szCs w:val="20"/>
        </w:rPr>
        <w:t xml:space="preserve"> to deal with this</w:t>
      </w:r>
    </w:p>
    <w:p w14:paraId="4B58107C" w14:textId="0C7D4D33" w:rsidR="00CC78C9" w:rsidRPr="001568C9" w:rsidRDefault="00CC78C9">
      <w:pPr>
        <w:rPr>
          <w:rFonts w:ascii="Verdana" w:hAnsi="Verdana"/>
          <w:color w:val="000000" w:themeColor="text1"/>
          <w:sz w:val="20"/>
          <w:szCs w:val="20"/>
        </w:rPr>
      </w:pPr>
    </w:p>
    <w:p w14:paraId="6BB431EA" w14:textId="489CF362" w:rsidR="00901715" w:rsidRPr="001568C9" w:rsidRDefault="00CC78C9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568C9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If your Superannuation Type is </w:t>
      </w:r>
      <w:r w:rsidR="00C0091B" w:rsidRPr="001568C9">
        <w:rPr>
          <w:rFonts w:ascii="Verdana" w:hAnsi="Verdana"/>
          <w:b/>
          <w:bCs/>
          <w:color w:val="000000" w:themeColor="text1"/>
          <w:sz w:val="20"/>
          <w:szCs w:val="20"/>
        </w:rPr>
        <w:t>“</w:t>
      </w:r>
      <w:r w:rsidRPr="001568C9">
        <w:rPr>
          <w:rFonts w:ascii="Verdana" w:hAnsi="Verdana"/>
          <w:b/>
          <w:bCs/>
          <w:color w:val="000000" w:themeColor="text1"/>
          <w:sz w:val="20"/>
          <w:szCs w:val="20"/>
        </w:rPr>
        <w:t>Statutory Rate</w:t>
      </w:r>
      <w:r w:rsidR="00C0091B" w:rsidRPr="001568C9">
        <w:rPr>
          <w:rFonts w:ascii="Verdana" w:hAnsi="Verdana"/>
          <w:b/>
          <w:bCs/>
          <w:color w:val="000000" w:themeColor="text1"/>
          <w:sz w:val="20"/>
          <w:szCs w:val="20"/>
        </w:rPr>
        <w:t>”</w:t>
      </w:r>
      <w:r w:rsidRPr="001568C9">
        <w:rPr>
          <w:rFonts w:ascii="Verdana" w:hAnsi="Verdana"/>
          <w:color w:val="000000" w:themeColor="text1"/>
          <w:sz w:val="20"/>
          <w:szCs w:val="20"/>
        </w:rPr>
        <w:t xml:space="preserve"> – </w:t>
      </w:r>
      <w:r w:rsidR="00C0091B" w:rsidRPr="001568C9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Do Nothing. </w:t>
      </w:r>
    </w:p>
    <w:p w14:paraId="0DDC2030" w14:textId="77777777" w:rsidR="001E75EF" w:rsidRPr="001568C9" w:rsidRDefault="001E75EF" w:rsidP="001E75EF">
      <w:pPr>
        <w:rPr>
          <w:rFonts w:ascii="Verdana" w:hAnsi="Verdana"/>
          <w:color w:val="000000" w:themeColor="text1"/>
          <w:sz w:val="20"/>
          <w:szCs w:val="20"/>
        </w:rPr>
      </w:pPr>
      <w:r w:rsidRPr="001568C9">
        <w:rPr>
          <w:rFonts w:ascii="Verdana" w:hAnsi="Verdana"/>
          <w:color w:val="000000" w:themeColor="text1"/>
          <w:sz w:val="20"/>
          <w:szCs w:val="20"/>
        </w:rPr>
        <w:t>Xero will make the necessary changes.</w:t>
      </w:r>
    </w:p>
    <w:p w14:paraId="32060DF0" w14:textId="4517FEB9" w:rsidR="00F1179B" w:rsidRPr="001568C9" w:rsidRDefault="001E75EF" w:rsidP="00F1179B">
      <w:pPr>
        <w:rPr>
          <w:rFonts w:ascii="Verdana" w:hAnsi="Verdana"/>
          <w:color w:val="000000" w:themeColor="text1"/>
          <w:sz w:val="20"/>
          <w:szCs w:val="20"/>
        </w:rPr>
      </w:pPr>
      <w:r w:rsidRPr="001568C9">
        <w:rPr>
          <w:rFonts w:ascii="Verdana" w:hAnsi="Verdana"/>
          <w:color w:val="000000" w:themeColor="text1"/>
          <w:sz w:val="20"/>
          <w:szCs w:val="20"/>
        </w:rPr>
        <w:t>To see if you are using the Statutory Rate, o</w:t>
      </w:r>
      <w:r w:rsidR="00F1179B" w:rsidRPr="001568C9">
        <w:rPr>
          <w:rFonts w:ascii="Verdana" w:hAnsi="Verdana"/>
          <w:color w:val="000000" w:themeColor="text1"/>
          <w:sz w:val="20"/>
          <w:szCs w:val="20"/>
        </w:rPr>
        <w:t>pen the Pay Template of each employee</w:t>
      </w:r>
      <w:r w:rsidRPr="001568C9">
        <w:rPr>
          <w:rFonts w:ascii="Verdana" w:hAnsi="Verdana"/>
          <w:color w:val="000000" w:themeColor="text1"/>
          <w:sz w:val="20"/>
          <w:szCs w:val="20"/>
        </w:rPr>
        <w:t>.</w:t>
      </w:r>
    </w:p>
    <w:p w14:paraId="4493D0A7" w14:textId="424D7F8B" w:rsidR="001E75EF" w:rsidRPr="001568C9" w:rsidRDefault="001E75EF" w:rsidP="00F1179B">
      <w:pPr>
        <w:rPr>
          <w:rFonts w:ascii="Verdana" w:hAnsi="Verdana"/>
          <w:color w:val="000000" w:themeColor="text1"/>
          <w:sz w:val="20"/>
          <w:szCs w:val="20"/>
        </w:rPr>
      </w:pPr>
      <w:r w:rsidRPr="001568C9"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 wp14:anchorId="3222C233" wp14:editId="44933670">
            <wp:extent cx="4244400" cy="3585633"/>
            <wp:effectExtent l="12700" t="12700" r="10160" b="8890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7"/>
                    <a:stretch/>
                  </pic:blipFill>
                  <pic:spPr bwMode="auto">
                    <a:xfrm>
                      <a:off x="0" y="0"/>
                      <a:ext cx="4295994" cy="362921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2F3575" w14:textId="1022A5AB" w:rsidR="00901715" w:rsidRPr="001568C9" w:rsidRDefault="00901715">
      <w:pPr>
        <w:rPr>
          <w:rFonts w:ascii="Verdana" w:hAnsi="Verdana"/>
          <w:color w:val="000000" w:themeColor="text1"/>
          <w:sz w:val="20"/>
          <w:szCs w:val="20"/>
        </w:rPr>
      </w:pPr>
    </w:p>
    <w:p w14:paraId="04CD9795" w14:textId="69B21612" w:rsidR="00901715" w:rsidRPr="001568C9" w:rsidRDefault="00901715" w:rsidP="0090171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568C9">
        <w:rPr>
          <w:rFonts w:ascii="Verdana" w:hAnsi="Verdana"/>
          <w:b/>
          <w:bCs/>
          <w:color w:val="000000" w:themeColor="text1"/>
          <w:sz w:val="20"/>
          <w:szCs w:val="20"/>
        </w:rPr>
        <w:lastRenderedPageBreak/>
        <w:t>If your Superannuation Type is NOT “Statutory Rate”</w:t>
      </w:r>
    </w:p>
    <w:p w14:paraId="473340E4" w14:textId="715064FF" w:rsidR="001E75EF" w:rsidRPr="00300787" w:rsidRDefault="001E75EF" w:rsidP="001E75EF">
      <w:pPr>
        <w:rPr>
          <w:rFonts w:ascii="Verdana" w:hAnsi="Verdana"/>
          <w:color w:val="000000" w:themeColor="text1"/>
          <w:sz w:val="20"/>
          <w:szCs w:val="20"/>
        </w:rPr>
      </w:pPr>
      <w:r w:rsidRPr="00300787">
        <w:rPr>
          <w:rFonts w:ascii="Verdana" w:hAnsi="Verdana"/>
          <w:color w:val="000000" w:themeColor="text1"/>
          <w:sz w:val="20"/>
          <w:szCs w:val="20"/>
        </w:rPr>
        <w:t xml:space="preserve">You will </w:t>
      </w:r>
      <w:r w:rsidR="00C838A3" w:rsidRPr="00300787">
        <w:rPr>
          <w:rFonts w:ascii="Verdana" w:hAnsi="Verdana"/>
          <w:color w:val="000000" w:themeColor="text1"/>
          <w:sz w:val="20"/>
          <w:szCs w:val="20"/>
        </w:rPr>
        <w:t xml:space="preserve">need to </w:t>
      </w:r>
      <w:r w:rsidR="00AE111F" w:rsidRPr="00300787">
        <w:rPr>
          <w:rFonts w:ascii="Verdana" w:hAnsi="Verdana"/>
          <w:color w:val="000000" w:themeColor="text1"/>
          <w:sz w:val="20"/>
          <w:szCs w:val="20"/>
        </w:rPr>
        <w:t xml:space="preserve">manually </w:t>
      </w:r>
      <w:r w:rsidR="00C838A3" w:rsidRPr="00300787">
        <w:rPr>
          <w:rFonts w:ascii="Verdana" w:hAnsi="Verdana"/>
          <w:color w:val="000000" w:themeColor="text1"/>
          <w:sz w:val="20"/>
          <w:szCs w:val="20"/>
        </w:rPr>
        <w:t xml:space="preserve">calculate </w:t>
      </w:r>
      <w:r w:rsidR="00AE111F" w:rsidRPr="00300787">
        <w:rPr>
          <w:rFonts w:ascii="Verdana" w:hAnsi="Verdana"/>
          <w:color w:val="000000" w:themeColor="text1"/>
          <w:sz w:val="20"/>
          <w:szCs w:val="20"/>
        </w:rPr>
        <w:t xml:space="preserve">the new amount </w:t>
      </w:r>
      <w:r w:rsidR="00C838A3" w:rsidRPr="00300787">
        <w:rPr>
          <w:rFonts w:ascii="Verdana" w:hAnsi="Verdana"/>
          <w:color w:val="000000" w:themeColor="text1"/>
          <w:sz w:val="20"/>
          <w:szCs w:val="20"/>
        </w:rPr>
        <w:t xml:space="preserve">and </w:t>
      </w:r>
      <w:r w:rsidRPr="00300787">
        <w:rPr>
          <w:rFonts w:ascii="Verdana" w:hAnsi="Verdana"/>
          <w:color w:val="000000" w:themeColor="text1"/>
          <w:sz w:val="20"/>
          <w:szCs w:val="20"/>
        </w:rPr>
        <w:t>make the changes.</w:t>
      </w:r>
    </w:p>
    <w:p w14:paraId="29B09CAB" w14:textId="7181A73A" w:rsidR="00F1179B" w:rsidRPr="001568C9" w:rsidRDefault="00F1179B" w:rsidP="0090171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568C9">
        <w:rPr>
          <w:rFonts w:ascii="Verdana" w:hAnsi="Verdana"/>
          <w:b/>
          <w:bCs/>
          <w:color w:val="000000" w:themeColor="text1"/>
          <w:sz w:val="20"/>
          <w:szCs w:val="20"/>
        </w:rPr>
        <w:t>You can see this on the Pay Template screen of each employee</w:t>
      </w:r>
    </w:p>
    <w:p w14:paraId="76D3238F" w14:textId="4B75D56A" w:rsidR="00F1179B" w:rsidRPr="001568C9" w:rsidRDefault="00F1179B" w:rsidP="0090171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568C9">
        <w:rPr>
          <w:rFonts w:ascii="Verdana" w:hAnsi="Verdana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028913D6" wp14:editId="0E1F99DE">
            <wp:extent cx="4165600" cy="4134919"/>
            <wp:effectExtent l="12700" t="12700" r="12700" b="18415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1" r="9281"/>
                    <a:stretch/>
                  </pic:blipFill>
                  <pic:spPr bwMode="auto">
                    <a:xfrm>
                      <a:off x="0" y="0"/>
                      <a:ext cx="4186643" cy="41558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049539" w14:textId="13DD968F" w:rsidR="00F1179B" w:rsidRPr="001568C9" w:rsidRDefault="00F1179B" w:rsidP="0090171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36E5A02D" w14:textId="623B950F" w:rsidR="00F1179B" w:rsidRPr="00300787" w:rsidRDefault="00F1179B" w:rsidP="0090171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300787">
        <w:rPr>
          <w:rFonts w:ascii="Verdana" w:hAnsi="Verdana"/>
          <w:b/>
          <w:bCs/>
          <w:color w:val="000000" w:themeColor="text1"/>
          <w:sz w:val="20"/>
          <w:szCs w:val="20"/>
        </w:rPr>
        <w:t>To adjust</w:t>
      </w:r>
      <w:r w:rsidR="00C838A3" w:rsidRPr="00300787">
        <w:rPr>
          <w:rFonts w:ascii="Verdana" w:hAnsi="Verdana"/>
          <w:b/>
          <w:bCs/>
          <w:color w:val="000000" w:themeColor="text1"/>
          <w:sz w:val="20"/>
          <w:szCs w:val="20"/>
        </w:rPr>
        <w:t>:</w:t>
      </w:r>
    </w:p>
    <w:p w14:paraId="283A07E6" w14:textId="01A03F3B" w:rsidR="00901715" w:rsidRPr="00300787" w:rsidRDefault="00C838A3">
      <w:pPr>
        <w:rPr>
          <w:rFonts w:ascii="Verdana" w:hAnsi="Verdana"/>
          <w:color w:val="000000" w:themeColor="text1"/>
          <w:sz w:val="20"/>
          <w:szCs w:val="20"/>
        </w:rPr>
      </w:pPr>
      <w:r w:rsidRPr="00300787">
        <w:rPr>
          <w:rFonts w:ascii="Verdana" w:hAnsi="Verdana"/>
          <w:color w:val="000000" w:themeColor="text1"/>
          <w:sz w:val="20"/>
          <w:szCs w:val="20"/>
        </w:rPr>
        <w:t xml:space="preserve">Timing: </w:t>
      </w:r>
      <w:r w:rsidR="00DE0A93" w:rsidRPr="00300787">
        <w:rPr>
          <w:rFonts w:ascii="Verdana" w:hAnsi="Verdana"/>
          <w:color w:val="000000" w:themeColor="text1"/>
          <w:sz w:val="20"/>
          <w:szCs w:val="20"/>
        </w:rPr>
        <w:t>These checks should be</w:t>
      </w:r>
      <w:r w:rsidR="00901715" w:rsidRPr="00300787">
        <w:rPr>
          <w:rFonts w:ascii="Verdana" w:hAnsi="Verdana"/>
          <w:color w:val="000000" w:themeColor="text1"/>
          <w:sz w:val="20"/>
          <w:szCs w:val="20"/>
        </w:rPr>
        <w:t xml:space="preserve"> completed </w:t>
      </w:r>
      <w:r w:rsidR="00DE0A93" w:rsidRPr="00300787">
        <w:rPr>
          <w:rFonts w:ascii="Verdana" w:hAnsi="Verdana"/>
          <w:color w:val="000000" w:themeColor="text1"/>
          <w:sz w:val="20"/>
          <w:szCs w:val="20"/>
        </w:rPr>
        <w:t xml:space="preserve">after </w:t>
      </w:r>
      <w:r w:rsidR="00901715" w:rsidRPr="00300787">
        <w:rPr>
          <w:rFonts w:ascii="Verdana" w:hAnsi="Verdana"/>
          <w:color w:val="000000" w:themeColor="text1"/>
          <w:sz w:val="20"/>
          <w:szCs w:val="20"/>
        </w:rPr>
        <w:t xml:space="preserve">your final June </w:t>
      </w:r>
      <w:r w:rsidR="00AE111F" w:rsidRPr="00300787">
        <w:rPr>
          <w:rFonts w:ascii="Verdana" w:hAnsi="Verdana"/>
          <w:color w:val="000000" w:themeColor="text1"/>
          <w:sz w:val="20"/>
          <w:szCs w:val="20"/>
        </w:rPr>
        <w:t>20</w:t>
      </w:r>
      <w:r w:rsidR="00901715" w:rsidRPr="00300787">
        <w:rPr>
          <w:rFonts w:ascii="Verdana" w:hAnsi="Verdana"/>
          <w:color w:val="000000" w:themeColor="text1"/>
          <w:sz w:val="20"/>
          <w:szCs w:val="20"/>
        </w:rPr>
        <w:t xml:space="preserve">22 </w:t>
      </w:r>
      <w:r w:rsidR="002266B7" w:rsidRPr="00300787">
        <w:rPr>
          <w:rFonts w:ascii="Verdana" w:hAnsi="Verdana"/>
          <w:color w:val="000000" w:themeColor="text1"/>
          <w:sz w:val="20"/>
          <w:szCs w:val="20"/>
        </w:rPr>
        <w:t>pay run</w:t>
      </w:r>
      <w:r w:rsidR="00901715" w:rsidRPr="00300787">
        <w:rPr>
          <w:rFonts w:ascii="Verdana" w:hAnsi="Verdana"/>
          <w:color w:val="000000" w:themeColor="text1"/>
          <w:sz w:val="20"/>
          <w:szCs w:val="20"/>
        </w:rPr>
        <w:t xml:space="preserve"> and before you process your first </w:t>
      </w:r>
      <w:r w:rsidR="00AE111F" w:rsidRPr="00300787">
        <w:rPr>
          <w:rFonts w:ascii="Verdana" w:hAnsi="Verdana"/>
          <w:color w:val="000000" w:themeColor="text1"/>
          <w:sz w:val="20"/>
          <w:szCs w:val="20"/>
        </w:rPr>
        <w:t xml:space="preserve">pay run in </w:t>
      </w:r>
      <w:r w:rsidR="00901715" w:rsidRPr="00300787">
        <w:rPr>
          <w:rFonts w:ascii="Verdana" w:hAnsi="Verdana"/>
          <w:color w:val="000000" w:themeColor="text1"/>
          <w:sz w:val="20"/>
          <w:szCs w:val="20"/>
        </w:rPr>
        <w:t xml:space="preserve">July </w:t>
      </w:r>
      <w:r w:rsidR="00DE0A93" w:rsidRPr="00300787">
        <w:rPr>
          <w:rFonts w:ascii="Verdana" w:hAnsi="Verdana"/>
          <w:color w:val="000000" w:themeColor="text1"/>
          <w:sz w:val="20"/>
          <w:szCs w:val="20"/>
        </w:rPr>
        <w:t>20</w:t>
      </w:r>
      <w:r w:rsidR="00901715" w:rsidRPr="00300787">
        <w:rPr>
          <w:rFonts w:ascii="Verdana" w:hAnsi="Verdana"/>
          <w:color w:val="000000" w:themeColor="text1"/>
          <w:sz w:val="20"/>
          <w:szCs w:val="20"/>
        </w:rPr>
        <w:t>22.</w:t>
      </w:r>
    </w:p>
    <w:p w14:paraId="34004608" w14:textId="68FD5C24" w:rsidR="00C838A3" w:rsidRPr="00300787" w:rsidRDefault="00C838A3">
      <w:pPr>
        <w:rPr>
          <w:rFonts w:ascii="Verdana" w:hAnsi="Verdana"/>
          <w:color w:val="000000" w:themeColor="text1"/>
          <w:sz w:val="20"/>
          <w:szCs w:val="20"/>
        </w:rPr>
      </w:pPr>
      <w:r w:rsidRPr="00300787">
        <w:rPr>
          <w:rFonts w:ascii="Verdana" w:hAnsi="Verdana"/>
          <w:color w:val="000000" w:themeColor="text1"/>
          <w:sz w:val="20"/>
          <w:szCs w:val="20"/>
        </w:rPr>
        <w:t xml:space="preserve">Calculate the correct percentages or </w:t>
      </w:r>
      <w:r w:rsidR="00F26D26" w:rsidRPr="00300787">
        <w:rPr>
          <w:rFonts w:ascii="Verdana" w:hAnsi="Verdana"/>
          <w:color w:val="000000" w:themeColor="text1"/>
          <w:sz w:val="20"/>
          <w:szCs w:val="20"/>
        </w:rPr>
        <w:t>f</w:t>
      </w:r>
      <w:r w:rsidRPr="00300787">
        <w:rPr>
          <w:rFonts w:ascii="Verdana" w:hAnsi="Verdana"/>
          <w:color w:val="000000" w:themeColor="text1"/>
          <w:sz w:val="20"/>
          <w:szCs w:val="20"/>
        </w:rPr>
        <w:t>ixed amounts and enter on this screen.</w:t>
      </w:r>
    </w:p>
    <w:p w14:paraId="07A7779A" w14:textId="77777777" w:rsidR="002266B7" w:rsidRPr="001568C9" w:rsidRDefault="002266B7">
      <w:pPr>
        <w:rPr>
          <w:rFonts w:ascii="Verdana" w:hAnsi="Verdana"/>
          <w:color w:val="000000" w:themeColor="text1"/>
          <w:sz w:val="20"/>
          <w:szCs w:val="20"/>
        </w:rPr>
      </w:pPr>
    </w:p>
    <w:sectPr w:rsidR="002266B7" w:rsidRPr="001568C9" w:rsidSect="00A02585">
      <w:pgSz w:w="11901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A04F4"/>
    <w:multiLevelType w:val="multilevel"/>
    <w:tmpl w:val="AD28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F3117"/>
    <w:multiLevelType w:val="multilevel"/>
    <w:tmpl w:val="AD28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1481F"/>
    <w:multiLevelType w:val="multilevel"/>
    <w:tmpl w:val="0370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33906"/>
    <w:multiLevelType w:val="multilevel"/>
    <w:tmpl w:val="AD28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7392743">
    <w:abstractNumId w:val="2"/>
  </w:num>
  <w:num w:numId="2" w16cid:durableId="2012949151">
    <w:abstractNumId w:val="3"/>
  </w:num>
  <w:num w:numId="3" w16cid:durableId="266739868">
    <w:abstractNumId w:val="1"/>
  </w:num>
  <w:num w:numId="4" w16cid:durableId="83429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38"/>
    <w:rsid w:val="000B2847"/>
    <w:rsid w:val="001568C9"/>
    <w:rsid w:val="001E75EF"/>
    <w:rsid w:val="002266B7"/>
    <w:rsid w:val="002E7F0F"/>
    <w:rsid w:val="00300787"/>
    <w:rsid w:val="003265E2"/>
    <w:rsid w:val="00420AA1"/>
    <w:rsid w:val="004D7306"/>
    <w:rsid w:val="00581764"/>
    <w:rsid w:val="00637FDF"/>
    <w:rsid w:val="00716E55"/>
    <w:rsid w:val="0072401D"/>
    <w:rsid w:val="0074430A"/>
    <w:rsid w:val="007554B6"/>
    <w:rsid w:val="007861AB"/>
    <w:rsid w:val="00813757"/>
    <w:rsid w:val="00901715"/>
    <w:rsid w:val="0091457E"/>
    <w:rsid w:val="0092656E"/>
    <w:rsid w:val="0095512D"/>
    <w:rsid w:val="00A02585"/>
    <w:rsid w:val="00A143D1"/>
    <w:rsid w:val="00AE111F"/>
    <w:rsid w:val="00B3294C"/>
    <w:rsid w:val="00B85D8F"/>
    <w:rsid w:val="00BB0E68"/>
    <w:rsid w:val="00BC1220"/>
    <w:rsid w:val="00C0091B"/>
    <w:rsid w:val="00C838A3"/>
    <w:rsid w:val="00CC0A60"/>
    <w:rsid w:val="00CC78C9"/>
    <w:rsid w:val="00D25238"/>
    <w:rsid w:val="00DC00FB"/>
    <w:rsid w:val="00DE0A93"/>
    <w:rsid w:val="00F0634E"/>
    <w:rsid w:val="00F1179B"/>
    <w:rsid w:val="00F26D26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F98F"/>
  <w15:chartTrackingRefBased/>
  <w15:docId w15:val="{CDBB9D41-28D2-DD47-AA2C-BB9BC3EB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7E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252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E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523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D2523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5238"/>
    <w:rPr>
      <w:b/>
      <w:bCs/>
    </w:rPr>
  </w:style>
  <w:style w:type="table" w:styleId="TableGrid">
    <w:name w:val="Table Grid"/>
    <w:basedOn w:val="TableNormal"/>
    <w:uiPriority w:val="39"/>
    <w:rsid w:val="00D2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F0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E68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ette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Benkorp Management Services Pty Ltd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Korporaal</dc:creator>
  <cp:keywords/>
  <dc:description/>
  <cp:lastModifiedBy>Jeanette Korporaal</cp:lastModifiedBy>
  <cp:revision>2</cp:revision>
  <dcterms:created xsi:type="dcterms:W3CDTF">2022-04-23T01:36:00Z</dcterms:created>
  <dcterms:modified xsi:type="dcterms:W3CDTF">2022-04-23T01:36:00Z</dcterms:modified>
</cp:coreProperties>
</file>